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86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Bluesheep Data</w:t>
      </w:r>
    </w:p>
    <w:p w:rsidR="000D7186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Background</w:t>
      </w:r>
    </w:p>
    <w:p w:rsidR="000727BD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What is Bluesheep Data?</w:t>
      </w:r>
    </w:p>
    <w:p w:rsidR="000727BD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For an Apprenticeship Provider to record an Apprenticeship start on the DfE's system,</w:t>
      </w:r>
      <w:r w:rsidRPr="00CF5780">
        <w:rPr>
          <w:rFonts w:ascii="Arial" w:hAnsi="Arial" w:cs="Arial"/>
          <w:sz w:val="24"/>
          <w:szCs w:val="24"/>
        </w:rPr>
        <w:t xml:space="preserve"> the</w:t>
      </w:r>
      <w:r w:rsidRPr="00CF5780">
        <w:rPr>
          <w:rFonts w:ascii="Arial" w:hAnsi="Arial" w:cs="Arial"/>
          <w:sz w:val="24"/>
          <w:szCs w:val="24"/>
        </w:rPr>
        <w:t xml:space="preserve"> start must be associated with a single identifiable workplace</w:t>
      </w:r>
      <w:r w:rsidRPr="00CF5780">
        <w:rPr>
          <w:rFonts w:ascii="Arial" w:hAnsi="Arial" w:cs="Arial"/>
          <w:sz w:val="24"/>
          <w:szCs w:val="24"/>
        </w:rPr>
        <w:t>.  I</w:t>
      </w:r>
      <w:r w:rsidRPr="00CF5780">
        <w:rPr>
          <w:rFonts w:ascii="Arial" w:hAnsi="Arial" w:cs="Arial"/>
          <w:sz w:val="24"/>
          <w:szCs w:val="24"/>
        </w:rPr>
        <w:t xml:space="preserve">n </w:t>
      </w:r>
      <w:r w:rsidRPr="00CF5780">
        <w:rPr>
          <w:rFonts w:ascii="Arial" w:hAnsi="Arial" w:cs="Arial"/>
          <w:sz w:val="24"/>
          <w:szCs w:val="24"/>
        </w:rPr>
        <w:t>businesses with</w:t>
      </w:r>
      <w:r w:rsidRPr="00CF5780">
        <w:rPr>
          <w:rFonts w:ascii="Arial" w:hAnsi="Arial" w:cs="Arial"/>
          <w:sz w:val="24"/>
          <w:szCs w:val="24"/>
        </w:rPr>
        <w:t xml:space="preserve"> multiple sites it is the</w:t>
      </w:r>
      <w:r w:rsidRPr="00CF5780">
        <w:rPr>
          <w:rFonts w:ascii="Arial" w:hAnsi="Arial" w:cs="Arial"/>
          <w:sz w:val="24"/>
          <w:szCs w:val="24"/>
        </w:rPr>
        <w:t xml:space="preserve"> workplace</w:t>
      </w:r>
      <w:r w:rsidRPr="00CF5780">
        <w:rPr>
          <w:rFonts w:ascii="Arial" w:hAnsi="Arial" w:cs="Arial"/>
          <w:sz w:val="24"/>
          <w:szCs w:val="24"/>
        </w:rPr>
        <w:t xml:space="preserve"> of that business where the </w:t>
      </w:r>
      <w:r w:rsidRPr="00CF5780">
        <w:rPr>
          <w:rFonts w:ascii="Arial" w:hAnsi="Arial" w:cs="Arial"/>
          <w:sz w:val="24"/>
          <w:szCs w:val="24"/>
        </w:rPr>
        <w:t>A</w:t>
      </w:r>
      <w:r w:rsidRPr="00CF5780">
        <w:rPr>
          <w:rFonts w:ascii="Arial" w:hAnsi="Arial" w:cs="Arial"/>
          <w:sz w:val="24"/>
          <w:szCs w:val="24"/>
        </w:rPr>
        <w:t>pprentice is based</w:t>
      </w:r>
      <w:r w:rsidRPr="00CF5780">
        <w:rPr>
          <w:rFonts w:ascii="Arial" w:hAnsi="Arial" w:cs="Arial"/>
          <w:sz w:val="24"/>
          <w:szCs w:val="24"/>
        </w:rPr>
        <w:t xml:space="preserve"> that is recorded</w:t>
      </w:r>
      <w:r w:rsidRPr="00CF5780">
        <w:rPr>
          <w:rFonts w:ascii="Arial" w:hAnsi="Arial" w:cs="Arial"/>
          <w:sz w:val="24"/>
          <w:szCs w:val="24"/>
        </w:rPr>
        <w:t>. It is the responsibility of the Provider</w:t>
      </w:r>
      <w:r w:rsidRPr="00CF5780">
        <w:rPr>
          <w:rFonts w:ascii="Arial" w:hAnsi="Arial" w:cs="Arial"/>
          <w:sz w:val="24"/>
          <w:szCs w:val="24"/>
        </w:rPr>
        <w:t xml:space="preserve"> who is training the A</w:t>
      </w:r>
      <w:r w:rsidRPr="00CF5780">
        <w:rPr>
          <w:rFonts w:ascii="Arial" w:hAnsi="Arial" w:cs="Arial"/>
          <w:sz w:val="24"/>
          <w:szCs w:val="24"/>
        </w:rPr>
        <w:t>pprentice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to register any new workplaces on the</w:t>
      </w:r>
      <w:r w:rsidRPr="00CF5780">
        <w:rPr>
          <w:rFonts w:ascii="Arial" w:hAnsi="Arial" w:cs="Arial"/>
          <w:sz w:val="24"/>
          <w:szCs w:val="24"/>
        </w:rPr>
        <w:t xml:space="preserve"> system</w:t>
      </w:r>
      <w:r w:rsidRPr="00CF5780">
        <w:rPr>
          <w:rFonts w:ascii="Arial" w:hAnsi="Arial" w:cs="Arial"/>
          <w:sz w:val="24"/>
          <w:szCs w:val="24"/>
        </w:rPr>
        <w:t>. The system</w:t>
      </w:r>
      <w:r w:rsidRPr="00CF5780">
        <w:rPr>
          <w:rFonts w:ascii="Arial" w:hAnsi="Arial" w:cs="Arial"/>
          <w:sz w:val="24"/>
          <w:szCs w:val="24"/>
        </w:rPr>
        <w:t xml:space="preserve"> is</w:t>
      </w:r>
      <w:r w:rsidRPr="00CF5780">
        <w:rPr>
          <w:rFonts w:ascii="Arial" w:hAnsi="Arial" w:cs="Arial"/>
          <w:sz w:val="24"/>
          <w:szCs w:val="24"/>
        </w:rPr>
        <w:t xml:space="preserve"> run by a company called Bluesheep.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 xml:space="preserve"> Each workpla</w:t>
      </w:r>
      <w:r w:rsidRPr="00CF5780">
        <w:rPr>
          <w:rFonts w:ascii="Arial" w:hAnsi="Arial" w:cs="Arial"/>
          <w:sz w:val="24"/>
          <w:szCs w:val="24"/>
        </w:rPr>
        <w:t>ce</w:t>
      </w:r>
      <w:r w:rsidRPr="00CF5780">
        <w:rPr>
          <w:rFonts w:ascii="Arial" w:hAnsi="Arial" w:cs="Arial"/>
          <w:sz w:val="24"/>
          <w:szCs w:val="24"/>
        </w:rPr>
        <w:t xml:space="preserve"> registered</w:t>
      </w:r>
      <w:r w:rsidRPr="00CF5780">
        <w:rPr>
          <w:rFonts w:ascii="Arial" w:hAnsi="Arial" w:cs="Arial"/>
          <w:sz w:val="24"/>
          <w:szCs w:val="24"/>
        </w:rPr>
        <w:t xml:space="preserve"> is allocated a unique code called an EDS code.</w:t>
      </w:r>
    </w:p>
    <w:p w:rsidR="000727BD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The data system like many, is only as good as the quality of the information inputted, and this means that with a system used by 100's of organisations to input 1000's of data entries, human erro</w:t>
      </w:r>
      <w:r w:rsidRPr="00CF5780">
        <w:rPr>
          <w:rFonts w:ascii="Arial" w:hAnsi="Arial" w:cs="Arial"/>
          <w:sz w:val="24"/>
          <w:szCs w:val="24"/>
        </w:rPr>
        <w:t xml:space="preserve">r has and will result in mistakes such as duplication. </w:t>
      </w:r>
    </w:p>
    <w:p w:rsidR="000727BD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 xml:space="preserve">Why is </w:t>
      </w:r>
      <w:r w:rsidRPr="00CF5780">
        <w:rPr>
          <w:rFonts w:ascii="Arial" w:hAnsi="Arial" w:cs="Arial"/>
          <w:b/>
          <w:sz w:val="24"/>
          <w:szCs w:val="24"/>
        </w:rPr>
        <w:t>Bluesheep data</w:t>
      </w:r>
      <w:r w:rsidRPr="00CF5780">
        <w:rPr>
          <w:rFonts w:ascii="Arial" w:hAnsi="Arial" w:cs="Arial"/>
          <w:b/>
          <w:sz w:val="24"/>
          <w:szCs w:val="24"/>
        </w:rPr>
        <w:t xml:space="preserve"> useful?</w:t>
      </w:r>
    </w:p>
    <w:p w:rsidR="00E4737F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LEPs have a data sharing agreement with DfE to allow</w:t>
      </w:r>
      <w:r w:rsidRPr="00CF5780">
        <w:rPr>
          <w:rFonts w:ascii="Arial" w:hAnsi="Arial" w:cs="Arial"/>
          <w:sz w:val="24"/>
          <w:szCs w:val="24"/>
        </w:rPr>
        <w:t xml:space="preserve"> access to the Data Cube</w:t>
      </w:r>
      <w:r w:rsidRPr="00CF5780">
        <w:rPr>
          <w:rFonts w:ascii="Arial" w:hAnsi="Arial" w:cs="Arial"/>
          <w:sz w:val="24"/>
          <w:szCs w:val="24"/>
        </w:rPr>
        <w:t xml:space="preserve"> which </w:t>
      </w:r>
      <w:r w:rsidRPr="00CF5780">
        <w:rPr>
          <w:rFonts w:ascii="Arial" w:hAnsi="Arial" w:cs="Arial"/>
          <w:sz w:val="24"/>
          <w:szCs w:val="24"/>
        </w:rPr>
        <w:t xml:space="preserve">provides </w:t>
      </w:r>
      <w:r w:rsidRPr="00CF5780">
        <w:rPr>
          <w:rFonts w:ascii="Arial" w:hAnsi="Arial" w:cs="Arial"/>
          <w:sz w:val="24"/>
          <w:szCs w:val="24"/>
        </w:rPr>
        <w:t xml:space="preserve">access to </w:t>
      </w:r>
      <w:r w:rsidRPr="00CF5780">
        <w:rPr>
          <w:rFonts w:ascii="Arial" w:hAnsi="Arial" w:cs="Arial"/>
          <w:sz w:val="24"/>
          <w:szCs w:val="24"/>
        </w:rPr>
        <w:t>a range of Apprenticeship data, for example,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 xml:space="preserve">Apprenticeships </w:t>
      </w:r>
      <w:r w:rsidRPr="00CF5780">
        <w:rPr>
          <w:rFonts w:ascii="Arial" w:hAnsi="Arial" w:cs="Arial"/>
          <w:sz w:val="24"/>
          <w:szCs w:val="24"/>
        </w:rPr>
        <w:t>by</w:t>
      </w:r>
      <w:r w:rsidRPr="00CF5780">
        <w:rPr>
          <w:rFonts w:ascii="Arial" w:hAnsi="Arial" w:cs="Arial"/>
          <w:sz w:val="24"/>
          <w:szCs w:val="24"/>
        </w:rPr>
        <w:t xml:space="preserve"> acad</w:t>
      </w:r>
      <w:r w:rsidRPr="00CF5780">
        <w:rPr>
          <w:rFonts w:ascii="Arial" w:hAnsi="Arial" w:cs="Arial"/>
          <w:sz w:val="24"/>
          <w:szCs w:val="24"/>
        </w:rPr>
        <w:t>emic year,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learner characteristics</w:t>
      </w:r>
      <w:r w:rsidRPr="00CF5780">
        <w:rPr>
          <w:rFonts w:ascii="Arial" w:hAnsi="Arial" w:cs="Arial"/>
          <w:sz w:val="24"/>
          <w:szCs w:val="24"/>
        </w:rPr>
        <w:t xml:space="preserve">, geography, </w:t>
      </w:r>
      <w:r w:rsidRPr="00CF5780">
        <w:rPr>
          <w:rFonts w:ascii="Arial" w:hAnsi="Arial" w:cs="Arial"/>
          <w:sz w:val="24"/>
          <w:szCs w:val="24"/>
        </w:rPr>
        <w:t xml:space="preserve">subject, </w:t>
      </w:r>
      <w:r w:rsidRPr="00CF5780">
        <w:rPr>
          <w:rFonts w:ascii="Arial" w:hAnsi="Arial" w:cs="Arial"/>
          <w:sz w:val="24"/>
          <w:szCs w:val="24"/>
        </w:rPr>
        <w:t xml:space="preserve">level, </w:t>
      </w:r>
      <w:r w:rsidRPr="00CF5780">
        <w:rPr>
          <w:rFonts w:ascii="Arial" w:hAnsi="Arial" w:cs="Arial"/>
          <w:sz w:val="24"/>
          <w:szCs w:val="24"/>
        </w:rPr>
        <w:t xml:space="preserve">starts, </w:t>
      </w:r>
      <w:proofErr w:type="gramStart"/>
      <w:r w:rsidRPr="00CF5780">
        <w:rPr>
          <w:rFonts w:ascii="Arial" w:hAnsi="Arial" w:cs="Arial"/>
          <w:sz w:val="24"/>
          <w:szCs w:val="24"/>
        </w:rPr>
        <w:t>achievements</w:t>
      </w:r>
      <w:proofErr w:type="gramEnd"/>
      <w:r w:rsidRPr="00CF5780">
        <w:rPr>
          <w:rFonts w:ascii="Arial" w:hAnsi="Arial" w:cs="Arial"/>
          <w:sz w:val="24"/>
          <w:szCs w:val="24"/>
        </w:rPr>
        <w:t xml:space="preserve"> and by EDS code. </w:t>
      </w:r>
      <w:r w:rsidRPr="00CF5780">
        <w:rPr>
          <w:rFonts w:ascii="Arial" w:hAnsi="Arial" w:cs="Arial"/>
          <w:sz w:val="24"/>
          <w:szCs w:val="24"/>
        </w:rPr>
        <w:t>D</w:t>
      </w:r>
      <w:r w:rsidRPr="00CF5780">
        <w:rPr>
          <w:rFonts w:ascii="Arial" w:hAnsi="Arial" w:cs="Arial"/>
          <w:sz w:val="24"/>
          <w:szCs w:val="24"/>
        </w:rPr>
        <w:t xml:space="preserve">ata </w:t>
      </w:r>
      <w:r w:rsidRPr="00CF5780">
        <w:rPr>
          <w:rFonts w:ascii="Arial" w:hAnsi="Arial" w:cs="Arial"/>
          <w:sz w:val="24"/>
          <w:szCs w:val="24"/>
        </w:rPr>
        <w:t>by</w:t>
      </w:r>
      <w:r w:rsidRPr="00CF57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780">
        <w:rPr>
          <w:rFonts w:ascii="Arial" w:hAnsi="Arial" w:cs="Arial"/>
          <w:sz w:val="24"/>
          <w:szCs w:val="24"/>
        </w:rPr>
        <w:t>EDS</w:t>
      </w:r>
      <w:proofErr w:type="gramEnd"/>
      <w:r w:rsidRPr="00CF5780">
        <w:rPr>
          <w:rFonts w:ascii="Arial" w:hAnsi="Arial" w:cs="Arial"/>
          <w:sz w:val="24"/>
          <w:szCs w:val="24"/>
        </w:rPr>
        <w:t xml:space="preserve"> code</w:t>
      </w:r>
      <w:r w:rsidRPr="00CF5780">
        <w:rPr>
          <w:rFonts w:ascii="Arial" w:hAnsi="Arial" w:cs="Arial"/>
          <w:sz w:val="24"/>
          <w:szCs w:val="24"/>
        </w:rPr>
        <w:t xml:space="preserve"> only does not enable reference to the business employing the Apprentice</w:t>
      </w:r>
      <w:r w:rsidRPr="00CF5780">
        <w:rPr>
          <w:rFonts w:ascii="Arial" w:hAnsi="Arial" w:cs="Arial"/>
          <w:sz w:val="24"/>
          <w:szCs w:val="24"/>
        </w:rPr>
        <w:t xml:space="preserve">. However </w:t>
      </w:r>
      <w:r w:rsidRPr="00CF5780">
        <w:rPr>
          <w:rFonts w:ascii="Arial" w:hAnsi="Arial" w:cs="Arial"/>
          <w:sz w:val="24"/>
          <w:szCs w:val="24"/>
        </w:rPr>
        <w:t>the</w:t>
      </w:r>
      <w:r w:rsidRPr="00CF5780">
        <w:rPr>
          <w:rFonts w:ascii="Arial" w:hAnsi="Arial" w:cs="Arial"/>
          <w:sz w:val="24"/>
          <w:szCs w:val="24"/>
        </w:rPr>
        <w:t xml:space="preserve"> Bluesheep</w:t>
      </w:r>
      <w:r w:rsidRPr="00CF5780">
        <w:rPr>
          <w:rFonts w:ascii="Arial" w:hAnsi="Arial" w:cs="Arial"/>
          <w:sz w:val="24"/>
          <w:szCs w:val="24"/>
        </w:rPr>
        <w:t xml:space="preserve"> data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can be purchased</w:t>
      </w:r>
      <w:r w:rsidRPr="00CF5780">
        <w:rPr>
          <w:rFonts w:ascii="Arial" w:hAnsi="Arial" w:cs="Arial"/>
          <w:sz w:val="24"/>
          <w:szCs w:val="24"/>
        </w:rPr>
        <w:t xml:space="preserve"> by LEPs,</w:t>
      </w:r>
      <w:r w:rsidRPr="00CF5780">
        <w:rPr>
          <w:rFonts w:ascii="Arial" w:hAnsi="Arial" w:cs="Arial"/>
          <w:sz w:val="24"/>
          <w:szCs w:val="24"/>
        </w:rPr>
        <w:t xml:space="preserve"> which </w:t>
      </w:r>
      <w:r w:rsidRPr="00CF5780">
        <w:rPr>
          <w:rFonts w:ascii="Arial" w:hAnsi="Arial" w:cs="Arial"/>
          <w:sz w:val="24"/>
          <w:szCs w:val="24"/>
        </w:rPr>
        <w:t>provid</w:t>
      </w:r>
      <w:r w:rsidRPr="00CF5780">
        <w:rPr>
          <w:rFonts w:ascii="Arial" w:hAnsi="Arial" w:cs="Arial"/>
          <w:sz w:val="24"/>
          <w:szCs w:val="24"/>
        </w:rPr>
        <w:t>es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 xml:space="preserve">the </w:t>
      </w:r>
      <w:r w:rsidRPr="00CF5780">
        <w:rPr>
          <w:rFonts w:ascii="Arial" w:hAnsi="Arial" w:cs="Arial"/>
          <w:sz w:val="24"/>
          <w:szCs w:val="24"/>
        </w:rPr>
        <w:t>EDS code</w:t>
      </w:r>
      <w:r w:rsidRPr="00CF5780">
        <w:rPr>
          <w:rFonts w:ascii="Arial" w:hAnsi="Arial" w:cs="Arial"/>
          <w:sz w:val="24"/>
          <w:szCs w:val="24"/>
        </w:rPr>
        <w:t>s</w:t>
      </w:r>
      <w:r w:rsidRPr="00CF5780">
        <w:rPr>
          <w:rFonts w:ascii="Arial" w:hAnsi="Arial" w:cs="Arial"/>
          <w:sz w:val="24"/>
          <w:szCs w:val="24"/>
        </w:rPr>
        <w:t xml:space="preserve"> and</w:t>
      </w:r>
      <w:r w:rsidRPr="00CF5780">
        <w:rPr>
          <w:rFonts w:ascii="Arial" w:hAnsi="Arial" w:cs="Arial"/>
          <w:sz w:val="24"/>
          <w:szCs w:val="24"/>
        </w:rPr>
        <w:t xml:space="preserve"> the</w:t>
      </w:r>
      <w:r w:rsidRPr="00CF5780">
        <w:rPr>
          <w:rFonts w:ascii="Arial" w:hAnsi="Arial" w:cs="Arial"/>
          <w:sz w:val="24"/>
          <w:szCs w:val="24"/>
        </w:rPr>
        <w:t xml:space="preserve"> associated</w:t>
      </w:r>
      <w:r w:rsidRPr="00CF5780">
        <w:rPr>
          <w:rFonts w:ascii="Arial" w:hAnsi="Arial" w:cs="Arial"/>
          <w:sz w:val="24"/>
          <w:szCs w:val="24"/>
        </w:rPr>
        <w:t xml:space="preserve"> workplace</w:t>
      </w:r>
      <w:r w:rsidRPr="00CF5780">
        <w:rPr>
          <w:rFonts w:ascii="Arial" w:hAnsi="Arial" w:cs="Arial"/>
          <w:sz w:val="24"/>
          <w:szCs w:val="24"/>
        </w:rPr>
        <w:t xml:space="preserve"> name, address, employee numbers, </w:t>
      </w:r>
      <w:r w:rsidRPr="00CF5780">
        <w:rPr>
          <w:rFonts w:ascii="Arial" w:hAnsi="Arial" w:cs="Arial"/>
          <w:sz w:val="24"/>
          <w:szCs w:val="24"/>
        </w:rPr>
        <w:t xml:space="preserve">and </w:t>
      </w:r>
      <w:r w:rsidRPr="00CF5780">
        <w:rPr>
          <w:rFonts w:ascii="Arial" w:hAnsi="Arial" w:cs="Arial"/>
          <w:sz w:val="24"/>
          <w:szCs w:val="24"/>
        </w:rPr>
        <w:t>sector (where available)</w:t>
      </w:r>
      <w:r w:rsidRPr="00CF5780">
        <w:rPr>
          <w:rFonts w:ascii="Arial" w:hAnsi="Arial" w:cs="Arial"/>
          <w:sz w:val="24"/>
          <w:szCs w:val="24"/>
        </w:rPr>
        <w:t xml:space="preserve"> of the employers</w:t>
      </w:r>
      <w:r w:rsidRPr="00CF5780">
        <w:rPr>
          <w:rFonts w:ascii="Arial" w:hAnsi="Arial" w:cs="Arial"/>
          <w:sz w:val="24"/>
          <w:szCs w:val="24"/>
        </w:rPr>
        <w:t xml:space="preserve">. </w:t>
      </w:r>
      <w:r w:rsidRPr="00CF5780">
        <w:rPr>
          <w:rFonts w:ascii="Arial" w:hAnsi="Arial" w:cs="Arial"/>
          <w:sz w:val="24"/>
          <w:szCs w:val="24"/>
        </w:rPr>
        <w:t xml:space="preserve"> </w:t>
      </w:r>
    </w:p>
    <w:p w:rsidR="00A06CDE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Why do we want to find out which businesses have apprentices?</w:t>
      </w:r>
    </w:p>
    <w:p w:rsidR="00D85552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By viewing</w:t>
      </w:r>
      <w:r w:rsidRPr="00CF5780">
        <w:rPr>
          <w:rFonts w:ascii="Arial" w:hAnsi="Arial" w:cs="Arial"/>
          <w:sz w:val="24"/>
          <w:szCs w:val="24"/>
        </w:rPr>
        <w:t xml:space="preserve"> which businesses have had apprentices over the last few years </w:t>
      </w:r>
      <w:r w:rsidRPr="00CF5780">
        <w:rPr>
          <w:rFonts w:ascii="Arial" w:hAnsi="Arial" w:cs="Arial"/>
          <w:sz w:val="24"/>
          <w:szCs w:val="24"/>
        </w:rPr>
        <w:t>it is possible</w:t>
      </w:r>
      <w:r w:rsidRPr="00CF5780">
        <w:rPr>
          <w:rFonts w:ascii="Arial" w:hAnsi="Arial" w:cs="Arial"/>
          <w:sz w:val="24"/>
          <w:szCs w:val="24"/>
        </w:rPr>
        <w:t xml:space="preserve"> to </w:t>
      </w:r>
      <w:r w:rsidRPr="00CF5780">
        <w:rPr>
          <w:rFonts w:ascii="Arial" w:hAnsi="Arial" w:cs="Arial"/>
          <w:sz w:val="24"/>
          <w:szCs w:val="24"/>
        </w:rPr>
        <w:t xml:space="preserve">identify those businesses who have embraced the Apprenticeship Reforms, those who have not and what Apprenticeships are being offered by businesses. </w:t>
      </w:r>
    </w:p>
    <w:p w:rsidR="00A06CDE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Analysis of the</w:t>
      </w:r>
      <w:r w:rsidRPr="00CF5780">
        <w:rPr>
          <w:rFonts w:ascii="Arial" w:hAnsi="Arial" w:cs="Arial"/>
          <w:sz w:val="24"/>
          <w:szCs w:val="24"/>
        </w:rPr>
        <w:t xml:space="preserve"> data</w:t>
      </w:r>
      <w:r w:rsidRPr="00CF5780">
        <w:rPr>
          <w:rFonts w:ascii="Arial" w:hAnsi="Arial" w:cs="Arial"/>
          <w:sz w:val="24"/>
          <w:szCs w:val="24"/>
        </w:rPr>
        <w:t xml:space="preserve"> can </w:t>
      </w:r>
      <w:r w:rsidRPr="00CF5780">
        <w:rPr>
          <w:rFonts w:ascii="Arial" w:hAnsi="Arial" w:cs="Arial"/>
          <w:sz w:val="24"/>
          <w:szCs w:val="24"/>
        </w:rPr>
        <w:t>be used</w:t>
      </w:r>
      <w:r w:rsidRPr="00CF5780">
        <w:rPr>
          <w:rFonts w:ascii="Arial" w:hAnsi="Arial" w:cs="Arial"/>
          <w:sz w:val="24"/>
          <w:szCs w:val="24"/>
        </w:rPr>
        <w:t xml:space="preserve"> to inform </w:t>
      </w:r>
      <w:r w:rsidRPr="00CF5780">
        <w:rPr>
          <w:rFonts w:ascii="Arial" w:hAnsi="Arial" w:cs="Arial"/>
          <w:sz w:val="24"/>
          <w:szCs w:val="24"/>
        </w:rPr>
        <w:t>business en</w:t>
      </w:r>
      <w:r w:rsidRPr="00CF5780">
        <w:rPr>
          <w:rFonts w:ascii="Arial" w:hAnsi="Arial" w:cs="Arial"/>
          <w:sz w:val="24"/>
          <w:szCs w:val="24"/>
        </w:rPr>
        <w:t>g</w:t>
      </w:r>
      <w:r w:rsidRPr="00CF5780">
        <w:rPr>
          <w:rFonts w:ascii="Arial" w:hAnsi="Arial" w:cs="Arial"/>
          <w:sz w:val="24"/>
          <w:szCs w:val="24"/>
        </w:rPr>
        <w:t>agement,</w:t>
      </w:r>
      <w:r w:rsidRPr="00CF5780">
        <w:rPr>
          <w:rFonts w:ascii="Arial" w:hAnsi="Arial" w:cs="Arial"/>
          <w:sz w:val="24"/>
          <w:szCs w:val="24"/>
        </w:rPr>
        <w:t xml:space="preserve"> to address businesses issues and share best practise, and</w:t>
      </w:r>
      <w:r w:rsidRPr="00CF5780">
        <w:rPr>
          <w:rFonts w:ascii="Arial" w:hAnsi="Arial" w:cs="Arial"/>
          <w:sz w:val="24"/>
          <w:szCs w:val="24"/>
        </w:rPr>
        <w:t xml:space="preserve"> to inform the development of</w:t>
      </w:r>
      <w:r w:rsidRPr="00CF5780">
        <w:rPr>
          <w:rFonts w:ascii="Arial" w:hAnsi="Arial" w:cs="Arial"/>
          <w:sz w:val="24"/>
          <w:szCs w:val="24"/>
        </w:rPr>
        <w:t xml:space="preserve"> guidance/support materials to certain types of business. </w:t>
      </w:r>
    </w:p>
    <w:p w:rsidR="00A06CDE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What we have done</w:t>
      </w:r>
      <w:r w:rsidRPr="00CF5780">
        <w:rPr>
          <w:rFonts w:ascii="Arial" w:hAnsi="Arial" w:cs="Arial"/>
          <w:b/>
          <w:sz w:val="24"/>
          <w:szCs w:val="24"/>
        </w:rPr>
        <w:t>?</w:t>
      </w:r>
    </w:p>
    <w:p w:rsidR="00A06CDE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Initially all </w:t>
      </w:r>
      <w:r w:rsidRPr="00CF5780">
        <w:rPr>
          <w:rFonts w:ascii="Arial" w:hAnsi="Arial" w:cs="Arial"/>
          <w:sz w:val="24"/>
          <w:szCs w:val="24"/>
        </w:rPr>
        <w:t xml:space="preserve">Lancashire </w:t>
      </w:r>
      <w:r w:rsidRPr="00CF5780">
        <w:rPr>
          <w:rFonts w:ascii="Arial" w:hAnsi="Arial" w:cs="Arial"/>
          <w:sz w:val="24"/>
          <w:szCs w:val="24"/>
        </w:rPr>
        <w:t xml:space="preserve">workplaces were listed that </w:t>
      </w:r>
      <w:r w:rsidRPr="00CF5780">
        <w:rPr>
          <w:rFonts w:ascii="Arial" w:hAnsi="Arial" w:cs="Arial"/>
          <w:sz w:val="24"/>
          <w:szCs w:val="24"/>
        </w:rPr>
        <w:t xml:space="preserve">had started any Apprentices in the last three </w:t>
      </w:r>
      <w:r w:rsidRPr="00CF5780">
        <w:rPr>
          <w:rFonts w:ascii="Arial" w:hAnsi="Arial" w:cs="Arial"/>
          <w:sz w:val="24"/>
          <w:szCs w:val="24"/>
        </w:rPr>
        <w:t xml:space="preserve">academic </w:t>
      </w:r>
      <w:r w:rsidRPr="00CF5780">
        <w:rPr>
          <w:rFonts w:ascii="Arial" w:hAnsi="Arial" w:cs="Arial"/>
          <w:sz w:val="24"/>
          <w:szCs w:val="24"/>
        </w:rPr>
        <w:t>years</w:t>
      </w:r>
      <w:r w:rsidRPr="00CF5780">
        <w:rPr>
          <w:rFonts w:ascii="Arial" w:hAnsi="Arial" w:cs="Arial"/>
          <w:sz w:val="24"/>
          <w:szCs w:val="24"/>
        </w:rPr>
        <w:t xml:space="preserve"> (15/16, 16/17 and 17/18)</w:t>
      </w:r>
      <w:r w:rsidRPr="00CF5780">
        <w:rPr>
          <w:rFonts w:ascii="Arial" w:hAnsi="Arial" w:cs="Arial"/>
          <w:sz w:val="24"/>
          <w:szCs w:val="24"/>
        </w:rPr>
        <w:t xml:space="preserve">; this gave a list of just under 17,500 workplaces. </w:t>
      </w:r>
    </w:p>
    <w:p w:rsidR="00E4737F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</w:t>
      </w:r>
      <w:r w:rsidRPr="00CF5780">
        <w:rPr>
          <w:rFonts w:ascii="Arial" w:hAnsi="Arial" w:cs="Arial"/>
          <w:sz w:val="24"/>
          <w:szCs w:val="24"/>
        </w:rPr>
        <w:t>o bring this number down</w:t>
      </w:r>
      <w:r w:rsidRPr="00CF5780">
        <w:rPr>
          <w:rFonts w:ascii="Arial" w:hAnsi="Arial" w:cs="Arial"/>
          <w:sz w:val="24"/>
          <w:szCs w:val="24"/>
        </w:rPr>
        <w:t xml:space="preserve"> to</w:t>
      </w:r>
      <w:r w:rsidRPr="00CF5780">
        <w:rPr>
          <w:rFonts w:ascii="Arial" w:hAnsi="Arial" w:cs="Arial"/>
          <w:sz w:val="24"/>
          <w:szCs w:val="24"/>
        </w:rPr>
        <w:t xml:space="preserve"> a manageable sample</w:t>
      </w:r>
      <w:r w:rsidRPr="00CF5780">
        <w:rPr>
          <w:rFonts w:ascii="Arial" w:hAnsi="Arial" w:cs="Arial"/>
          <w:sz w:val="24"/>
          <w:szCs w:val="24"/>
        </w:rPr>
        <w:t>,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 xml:space="preserve">the </w:t>
      </w:r>
      <w:r w:rsidRPr="00CF5780">
        <w:rPr>
          <w:rFonts w:ascii="Arial" w:hAnsi="Arial" w:cs="Arial"/>
          <w:sz w:val="24"/>
          <w:szCs w:val="24"/>
        </w:rPr>
        <w:t>list</w:t>
      </w:r>
      <w:r w:rsidRPr="00CF5780">
        <w:rPr>
          <w:rFonts w:ascii="Arial" w:hAnsi="Arial" w:cs="Arial"/>
          <w:sz w:val="24"/>
          <w:szCs w:val="24"/>
        </w:rPr>
        <w:t xml:space="preserve"> was cut down to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 xml:space="preserve">Lancashire </w:t>
      </w:r>
      <w:r w:rsidRPr="00CF5780">
        <w:rPr>
          <w:rFonts w:ascii="Arial" w:hAnsi="Arial" w:cs="Arial"/>
          <w:sz w:val="24"/>
          <w:szCs w:val="24"/>
        </w:rPr>
        <w:t xml:space="preserve">workplaces who had started </w:t>
      </w:r>
      <w:r w:rsidRPr="00CF5780">
        <w:rPr>
          <w:rFonts w:ascii="Arial" w:hAnsi="Arial" w:cs="Arial"/>
          <w:sz w:val="24"/>
          <w:szCs w:val="24"/>
        </w:rPr>
        <w:t>10 or</w:t>
      </w:r>
      <w:r w:rsidRPr="00CF5780">
        <w:rPr>
          <w:rFonts w:ascii="Arial" w:hAnsi="Arial" w:cs="Arial"/>
          <w:sz w:val="24"/>
          <w:szCs w:val="24"/>
        </w:rPr>
        <w:t xml:space="preserve"> more A</w:t>
      </w:r>
      <w:r w:rsidRPr="00CF5780">
        <w:rPr>
          <w:rFonts w:ascii="Arial" w:hAnsi="Arial" w:cs="Arial"/>
          <w:sz w:val="24"/>
          <w:szCs w:val="24"/>
        </w:rPr>
        <w:t xml:space="preserve">pprentices in the last three years </w:t>
      </w:r>
      <w:r w:rsidRPr="00CF5780">
        <w:rPr>
          <w:rFonts w:ascii="Arial" w:hAnsi="Arial" w:cs="Arial"/>
          <w:sz w:val="24"/>
          <w:szCs w:val="24"/>
        </w:rPr>
        <w:t xml:space="preserve">academic years (15/16, 16/17 and 17/18). </w:t>
      </w:r>
      <w:r w:rsidRPr="00CF5780">
        <w:rPr>
          <w:rFonts w:ascii="Arial" w:hAnsi="Arial" w:cs="Arial"/>
          <w:sz w:val="24"/>
          <w:szCs w:val="24"/>
        </w:rPr>
        <w:t>This exercise brought the number down to 427 workplaces.  T</w:t>
      </w:r>
      <w:r w:rsidRPr="00CF5780">
        <w:rPr>
          <w:rFonts w:ascii="Arial" w:hAnsi="Arial" w:cs="Arial"/>
          <w:sz w:val="24"/>
          <w:szCs w:val="24"/>
        </w:rPr>
        <w:t>hese businesses have</w:t>
      </w:r>
      <w:r w:rsidRPr="00CF5780">
        <w:rPr>
          <w:rFonts w:ascii="Arial" w:hAnsi="Arial" w:cs="Arial"/>
          <w:sz w:val="24"/>
          <w:szCs w:val="24"/>
        </w:rPr>
        <w:t xml:space="preserve"> the greatest potential to be </w:t>
      </w:r>
      <w:r w:rsidRPr="00CF5780">
        <w:rPr>
          <w:rFonts w:ascii="Arial" w:hAnsi="Arial" w:cs="Arial"/>
          <w:sz w:val="24"/>
          <w:szCs w:val="24"/>
        </w:rPr>
        <w:t>champions</w:t>
      </w:r>
      <w:r w:rsidRPr="00CF5780">
        <w:rPr>
          <w:rFonts w:ascii="Arial" w:hAnsi="Arial" w:cs="Arial"/>
          <w:sz w:val="24"/>
          <w:szCs w:val="24"/>
        </w:rPr>
        <w:t xml:space="preserve"> and sh</w:t>
      </w:r>
      <w:r w:rsidRPr="00CF5780">
        <w:rPr>
          <w:rFonts w:ascii="Arial" w:hAnsi="Arial" w:cs="Arial"/>
          <w:sz w:val="24"/>
          <w:szCs w:val="24"/>
        </w:rPr>
        <w:t xml:space="preserve">are </w:t>
      </w:r>
      <w:r w:rsidRPr="00CF5780">
        <w:rPr>
          <w:rFonts w:ascii="Arial" w:hAnsi="Arial" w:cs="Arial"/>
          <w:sz w:val="24"/>
          <w:szCs w:val="24"/>
        </w:rPr>
        <w:t>good practi</w:t>
      </w:r>
      <w:r w:rsidRPr="00CF5780">
        <w:rPr>
          <w:rFonts w:ascii="Arial" w:hAnsi="Arial" w:cs="Arial"/>
          <w:sz w:val="24"/>
          <w:szCs w:val="24"/>
        </w:rPr>
        <w:t>ce or as they historically had A</w:t>
      </w:r>
      <w:r w:rsidRPr="00CF5780">
        <w:rPr>
          <w:rFonts w:ascii="Arial" w:hAnsi="Arial" w:cs="Arial"/>
          <w:sz w:val="24"/>
          <w:szCs w:val="24"/>
        </w:rPr>
        <w:t>p</w:t>
      </w:r>
      <w:r w:rsidRPr="00CF5780">
        <w:rPr>
          <w:rFonts w:ascii="Arial" w:hAnsi="Arial" w:cs="Arial"/>
          <w:sz w:val="24"/>
          <w:szCs w:val="24"/>
        </w:rPr>
        <w:t>prentices</w:t>
      </w:r>
      <w:r w:rsidRPr="00CF5780">
        <w:rPr>
          <w:rFonts w:ascii="Arial" w:hAnsi="Arial" w:cs="Arial"/>
          <w:sz w:val="24"/>
          <w:szCs w:val="24"/>
        </w:rPr>
        <w:t>, be able to give insight into reasons for reduced engagement</w:t>
      </w:r>
      <w:r w:rsidRPr="00CF5780">
        <w:rPr>
          <w:rFonts w:ascii="Arial" w:hAnsi="Arial" w:cs="Arial"/>
          <w:sz w:val="24"/>
          <w:szCs w:val="24"/>
        </w:rPr>
        <w:t xml:space="preserve">.  </w:t>
      </w:r>
    </w:p>
    <w:p w:rsidR="004971C5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lastRenderedPageBreak/>
        <w:t xml:space="preserve">Who are the 427? </w:t>
      </w:r>
    </w:p>
    <w:p w:rsidR="002A67CE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By s</w:t>
      </w:r>
      <w:r w:rsidRPr="00CF5780">
        <w:rPr>
          <w:rFonts w:ascii="Arial" w:hAnsi="Arial" w:cs="Arial"/>
          <w:b/>
          <w:sz w:val="24"/>
          <w:szCs w:val="24"/>
        </w:rPr>
        <w:t>ector</w:t>
      </w:r>
    </w:p>
    <w:p w:rsidR="00E67814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70% (297 of the 427 workplaces) were in Lancashire's</w:t>
      </w:r>
      <w:r w:rsidRPr="00CF5780">
        <w:rPr>
          <w:rFonts w:ascii="Arial" w:hAnsi="Arial" w:cs="Arial"/>
          <w:sz w:val="24"/>
          <w:szCs w:val="24"/>
        </w:rPr>
        <w:t xml:space="preserve"> skills and employment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priority sectors</w:t>
      </w:r>
      <w:r w:rsidRPr="00CF5780">
        <w:rPr>
          <w:rFonts w:ascii="Arial" w:hAnsi="Arial" w:cs="Arial"/>
          <w:sz w:val="24"/>
          <w:szCs w:val="24"/>
        </w:rPr>
        <w:t>.</w:t>
      </w:r>
      <w:r w:rsidRPr="00CF5780">
        <w:rPr>
          <w:rFonts w:ascii="Arial" w:hAnsi="Arial" w:cs="Arial"/>
          <w:sz w:val="24"/>
          <w:szCs w:val="24"/>
        </w:rPr>
        <w:t xml:space="preserve"> See table 1 below. </w:t>
      </w:r>
    </w:p>
    <w:p w:rsidR="00BF6478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Table 1</w:t>
      </w:r>
      <w:r w:rsidRPr="00CF5780">
        <w:rPr>
          <w:rFonts w:ascii="Arial" w:hAnsi="Arial" w:cs="Arial"/>
          <w:sz w:val="24"/>
          <w:szCs w:val="24"/>
        </w:rPr>
        <w:t xml:space="preserve"> below</w:t>
      </w:r>
      <w:r w:rsidRPr="00CF5780">
        <w:rPr>
          <w:rFonts w:ascii="Arial" w:hAnsi="Arial" w:cs="Arial"/>
          <w:sz w:val="24"/>
          <w:szCs w:val="24"/>
        </w:rPr>
        <w:t xml:space="preserve"> shows </w:t>
      </w:r>
      <w:r w:rsidRPr="00CF5780">
        <w:rPr>
          <w:rFonts w:ascii="Arial" w:hAnsi="Arial" w:cs="Arial"/>
          <w:sz w:val="24"/>
          <w:szCs w:val="24"/>
        </w:rPr>
        <w:t xml:space="preserve">the workplaces in Lancashire's </w:t>
      </w:r>
      <w:r w:rsidRPr="00CF5780">
        <w:rPr>
          <w:rFonts w:ascii="Arial" w:hAnsi="Arial" w:cs="Arial"/>
          <w:sz w:val="24"/>
          <w:szCs w:val="24"/>
        </w:rPr>
        <w:t xml:space="preserve">priority </w:t>
      </w:r>
      <w:r w:rsidRPr="00CF5780">
        <w:rPr>
          <w:rFonts w:ascii="Arial" w:hAnsi="Arial" w:cs="Arial"/>
          <w:sz w:val="24"/>
          <w:szCs w:val="24"/>
        </w:rPr>
        <w:t>secto</w:t>
      </w:r>
      <w:r w:rsidRPr="00CF5780">
        <w:rPr>
          <w:rFonts w:ascii="Arial" w:hAnsi="Arial" w:cs="Arial"/>
          <w:sz w:val="24"/>
          <w:szCs w:val="24"/>
        </w:rPr>
        <w:t>rs who</w:t>
      </w:r>
      <w:r w:rsidRPr="00CF5780">
        <w:rPr>
          <w:rFonts w:ascii="Arial" w:hAnsi="Arial" w:cs="Arial"/>
          <w:sz w:val="24"/>
          <w:szCs w:val="24"/>
        </w:rPr>
        <w:t>,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between 16/17 and</w:t>
      </w:r>
      <w:r w:rsidRPr="00CF5780">
        <w:rPr>
          <w:rFonts w:ascii="Arial" w:hAnsi="Arial" w:cs="Arial"/>
          <w:sz w:val="24"/>
          <w:szCs w:val="24"/>
        </w:rPr>
        <w:t xml:space="preserve"> </w:t>
      </w:r>
      <w:r w:rsidRPr="00CF5780">
        <w:rPr>
          <w:rFonts w:ascii="Arial" w:hAnsi="Arial" w:cs="Arial"/>
          <w:sz w:val="24"/>
          <w:szCs w:val="24"/>
        </w:rPr>
        <w:t>17</w:t>
      </w:r>
      <w:r w:rsidRPr="00CF5780">
        <w:rPr>
          <w:rFonts w:ascii="Arial" w:hAnsi="Arial" w:cs="Arial"/>
          <w:sz w:val="24"/>
          <w:szCs w:val="24"/>
        </w:rPr>
        <w:t xml:space="preserve">/18, </w:t>
      </w:r>
      <w:r w:rsidRPr="00CF5780">
        <w:rPr>
          <w:rFonts w:ascii="Arial" w:hAnsi="Arial" w:cs="Arial"/>
          <w:sz w:val="24"/>
          <w:szCs w:val="24"/>
        </w:rPr>
        <w:t xml:space="preserve">have </w:t>
      </w:r>
      <w:r w:rsidRPr="00CF5780">
        <w:rPr>
          <w:rFonts w:ascii="Arial" w:hAnsi="Arial" w:cs="Arial"/>
          <w:sz w:val="24"/>
          <w:szCs w:val="24"/>
        </w:rPr>
        <w:t xml:space="preserve">reduced their </w:t>
      </w:r>
      <w:r w:rsidRPr="00CF5780">
        <w:rPr>
          <w:rFonts w:ascii="Arial" w:hAnsi="Arial" w:cs="Arial"/>
          <w:sz w:val="24"/>
          <w:szCs w:val="24"/>
        </w:rPr>
        <w:t>A</w:t>
      </w:r>
      <w:r w:rsidRPr="00CF5780">
        <w:rPr>
          <w:rFonts w:ascii="Arial" w:hAnsi="Arial" w:cs="Arial"/>
          <w:sz w:val="24"/>
          <w:szCs w:val="24"/>
        </w:rPr>
        <w:t>pprenticeship starts, remained the same or gro</w:t>
      </w:r>
      <w:r w:rsidRPr="00CF5780">
        <w:rPr>
          <w:rFonts w:ascii="Arial" w:hAnsi="Arial" w:cs="Arial"/>
          <w:sz w:val="24"/>
          <w:szCs w:val="24"/>
        </w:rPr>
        <w:t>wn their A</w:t>
      </w:r>
      <w:r w:rsidRPr="00CF5780">
        <w:rPr>
          <w:rFonts w:ascii="Arial" w:hAnsi="Arial" w:cs="Arial"/>
          <w:sz w:val="24"/>
          <w:szCs w:val="24"/>
        </w:rPr>
        <w:t xml:space="preserve">pprenticeship starts. </w:t>
      </w:r>
    </w:p>
    <w:p w:rsidR="00C27DF8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Table 1.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83"/>
        <w:gridCol w:w="1524"/>
        <w:gridCol w:w="1924"/>
        <w:gridCol w:w="2035"/>
        <w:gridCol w:w="1985"/>
      </w:tblGrid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Overall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  of businesses by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priority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 of busi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nesses who have increased apprenticeship starts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 of businesses who have maintained apprenticeship starts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 of businesses who have reduced apprenticeship starts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Health and Social Care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Manufacturing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Financial and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Professional Services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Visitor Economy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Construction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4D1A" w:rsidRPr="00CF5780" w:rsidTr="00CF5780">
        <w:tc>
          <w:tcPr>
            <w:tcW w:w="1883" w:type="dxa"/>
          </w:tcPr>
          <w:p w:rsidR="00BF6478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Digital</w:t>
            </w:r>
          </w:p>
        </w:tc>
        <w:tc>
          <w:tcPr>
            <w:tcW w:w="15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F647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4D1A" w:rsidRPr="00CF5780" w:rsidTr="00CF5780">
        <w:tc>
          <w:tcPr>
            <w:tcW w:w="1883" w:type="dxa"/>
          </w:tcPr>
          <w:p w:rsidR="00062CB5" w:rsidRPr="00CF5780" w:rsidRDefault="00CF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Energy and Environmental Technologies</w:t>
            </w:r>
          </w:p>
        </w:tc>
        <w:tc>
          <w:tcPr>
            <w:tcW w:w="1524" w:type="dxa"/>
          </w:tcPr>
          <w:p w:rsidR="00062CB5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062CB5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62CB5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62CB5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4D1A" w:rsidRPr="00CF5780" w:rsidTr="00CF5780">
        <w:tc>
          <w:tcPr>
            <w:tcW w:w="1883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524" w:type="dxa"/>
            <w:vAlign w:val="center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924" w:type="dxa"/>
            <w:vAlign w:val="center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35" w:type="dxa"/>
            <w:vAlign w:val="center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208</w:t>
            </w:r>
          </w:p>
        </w:tc>
      </w:tr>
    </w:tbl>
    <w:p w:rsidR="00BF6478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6F6931" w:rsidRPr="00CF5780" w:rsidRDefault="00CF5780" w:rsidP="006F6931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Of the remaining workplaces another 24% (105), fit into one of </w:t>
      </w:r>
      <w:r w:rsidRPr="00CF5780">
        <w:rPr>
          <w:rFonts w:ascii="Arial" w:hAnsi="Arial" w:cs="Arial"/>
          <w:sz w:val="24"/>
          <w:szCs w:val="24"/>
        </w:rPr>
        <w:t xml:space="preserve">the following sector </w:t>
      </w:r>
      <w:r w:rsidRPr="00CF5780">
        <w:rPr>
          <w:rFonts w:ascii="Arial" w:hAnsi="Arial" w:cs="Arial"/>
          <w:sz w:val="24"/>
          <w:szCs w:val="24"/>
        </w:rPr>
        <w:t>categories:</w:t>
      </w:r>
    </w:p>
    <w:p w:rsidR="006F6931" w:rsidRPr="00CF5780" w:rsidRDefault="00CF5780" w:rsidP="006F69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Education - 25</w:t>
      </w:r>
    </w:p>
    <w:p w:rsidR="00793EE2" w:rsidRPr="00CF5780" w:rsidRDefault="00CF5780" w:rsidP="0079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Retail -</w:t>
      </w:r>
      <w:r w:rsidRPr="00CF5780">
        <w:rPr>
          <w:rFonts w:ascii="Arial" w:hAnsi="Arial" w:cs="Arial"/>
          <w:sz w:val="24"/>
          <w:szCs w:val="24"/>
        </w:rPr>
        <w:t xml:space="preserve"> 21</w:t>
      </w:r>
    </w:p>
    <w:p w:rsidR="006F6931" w:rsidRPr="00CF5780" w:rsidRDefault="00CF5780" w:rsidP="0079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Public Sector 18</w:t>
      </w:r>
    </w:p>
    <w:p w:rsidR="00793EE2" w:rsidRPr="00CF5780" w:rsidRDefault="00CF5780" w:rsidP="0079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Food Production - </w:t>
      </w:r>
      <w:r w:rsidRPr="00CF5780">
        <w:rPr>
          <w:rFonts w:ascii="Arial" w:hAnsi="Arial" w:cs="Arial"/>
          <w:sz w:val="24"/>
          <w:szCs w:val="24"/>
        </w:rPr>
        <w:t>11</w:t>
      </w:r>
    </w:p>
    <w:p w:rsidR="00793EE2" w:rsidRPr="00CF5780" w:rsidRDefault="00CF5780" w:rsidP="00793E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Wholesale -</w:t>
      </w:r>
      <w:r w:rsidRPr="00CF5780">
        <w:rPr>
          <w:rFonts w:ascii="Arial" w:hAnsi="Arial" w:cs="Arial"/>
          <w:sz w:val="24"/>
          <w:szCs w:val="24"/>
        </w:rPr>
        <w:t xml:space="preserve"> 11</w:t>
      </w:r>
    </w:p>
    <w:p w:rsidR="006F6931" w:rsidRPr="00CF5780" w:rsidRDefault="00CF5780" w:rsidP="006F69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Transport - 7</w:t>
      </w:r>
    </w:p>
    <w:p w:rsidR="006F6931" w:rsidRPr="00CF5780" w:rsidRDefault="00CF5780" w:rsidP="006F69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Security - 7</w:t>
      </w:r>
    </w:p>
    <w:p w:rsidR="006F6931" w:rsidRPr="00CF5780" w:rsidRDefault="00CF5780" w:rsidP="006F69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Housing Association</w:t>
      </w:r>
      <w:r w:rsidRPr="00CF5780">
        <w:rPr>
          <w:rFonts w:ascii="Arial" w:hAnsi="Arial" w:cs="Arial"/>
          <w:sz w:val="24"/>
          <w:szCs w:val="24"/>
        </w:rPr>
        <w:t xml:space="preserve"> - 5</w:t>
      </w:r>
    </w:p>
    <w:p w:rsidR="00793EE2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6F6931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793EE2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4971C5" w:rsidRPr="00CF5780" w:rsidRDefault="00CF5780" w:rsidP="004971C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5780">
        <w:rPr>
          <w:rFonts w:ascii="Arial" w:hAnsi="Arial" w:cs="Arial"/>
          <w:b/>
          <w:sz w:val="24"/>
          <w:szCs w:val="24"/>
        </w:rPr>
        <w:lastRenderedPageBreak/>
        <w:t xml:space="preserve">Levy Payers </w:t>
      </w:r>
    </w:p>
    <w:p w:rsidR="00857A27" w:rsidRPr="00CF5780" w:rsidRDefault="00CF5780">
      <w:p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Of the 427 workplaces, 99 </w:t>
      </w:r>
      <w:r w:rsidRPr="00CF5780">
        <w:rPr>
          <w:rFonts w:ascii="Arial" w:hAnsi="Arial" w:cs="Arial"/>
          <w:sz w:val="24"/>
          <w:szCs w:val="24"/>
        </w:rPr>
        <w:t>have been</w:t>
      </w:r>
      <w:r w:rsidRPr="00CF5780">
        <w:rPr>
          <w:rFonts w:ascii="Arial" w:hAnsi="Arial" w:cs="Arial"/>
          <w:sz w:val="24"/>
          <w:szCs w:val="24"/>
        </w:rPr>
        <w:t xml:space="preserve"> identified as like</w:t>
      </w:r>
      <w:r w:rsidRPr="00CF5780">
        <w:rPr>
          <w:rFonts w:ascii="Arial" w:hAnsi="Arial" w:cs="Arial"/>
          <w:sz w:val="24"/>
          <w:szCs w:val="24"/>
        </w:rPr>
        <w:t>ly levy payers based on employee</w:t>
      </w:r>
      <w:r w:rsidRPr="00CF5780">
        <w:rPr>
          <w:rFonts w:ascii="Arial" w:hAnsi="Arial" w:cs="Arial"/>
          <w:sz w:val="24"/>
          <w:szCs w:val="24"/>
        </w:rPr>
        <w:t xml:space="preserve"> numbers and turnover.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83"/>
        <w:gridCol w:w="1524"/>
        <w:gridCol w:w="1924"/>
        <w:gridCol w:w="1924"/>
        <w:gridCol w:w="2238"/>
      </w:tblGrid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Overall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  of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levy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businesses by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priority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 of businesses who have increased apprenticeship starts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Number of businesses who have maintained apprenticeship starts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Number of businesses who have reduced </w:t>
            </w:r>
            <w:r w:rsidRPr="00CF5780">
              <w:rPr>
                <w:rFonts w:ascii="Arial" w:hAnsi="Arial" w:cs="Arial"/>
                <w:b/>
                <w:sz w:val="24"/>
                <w:szCs w:val="24"/>
              </w:rPr>
              <w:t>apprenticeship starts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Health and Social Care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Manufacturing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Financial and Professional Services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Visitor Economy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Construction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Digital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Energy and Environmental Technologies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4D1A" w:rsidRPr="00CF5780" w:rsidTr="00CF5780">
        <w:tc>
          <w:tcPr>
            <w:tcW w:w="1848" w:type="dxa"/>
          </w:tcPr>
          <w:p w:rsidR="00C27DF8" w:rsidRPr="00CF5780" w:rsidRDefault="00CF5780" w:rsidP="00C27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98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27DF8" w:rsidRPr="00CF5780" w:rsidRDefault="00CF5780" w:rsidP="00C2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780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</w:tbl>
    <w:p w:rsidR="004971C5" w:rsidRPr="00CF5780" w:rsidRDefault="00CF5780">
      <w:pPr>
        <w:rPr>
          <w:rFonts w:ascii="Arial" w:hAnsi="Arial" w:cs="Arial"/>
          <w:sz w:val="24"/>
          <w:szCs w:val="24"/>
        </w:rPr>
      </w:pPr>
    </w:p>
    <w:p w:rsidR="00C27DF8" w:rsidRPr="00CF5780" w:rsidRDefault="00CF5780">
      <w:pPr>
        <w:rPr>
          <w:rFonts w:ascii="Arial" w:hAnsi="Arial" w:cs="Arial"/>
          <w:b/>
          <w:sz w:val="24"/>
          <w:szCs w:val="24"/>
        </w:rPr>
      </w:pPr>
      <w:r w:rsidRPr="00CF5780">
        <w:rPr>
          <w:rFonts w:ascii="Arial" w:hAnsi="Arial" w:cs="Arial"/>
          <w:b/>
          <w:sz w:val="24"/>
          <w:szCs w:val="24"/>
        </w:rPr>
        <w:t>Levy payers in o</w:t>
      </w:r>
      <w:r w:rsidRPr="00CF5780">
        <w:rPr>
          <w:rFonts w:ascii="Arial" w:hAnsi="Arial" w:cs="Arial"/>
          <w:b/>
          <w:sz w:val="24"/>
          <w:szCs w:val="24"/>
        </w:rPr>
        <w:t>t</w:t>
      </w:r>
      <w:r w:rsidRPr="00CF5780">
        <w:rPr>
          <w:rFonts w:ascii="Arial" w:hAnsi="Arial" w:cs="Arial"/>
          <w:b/>
          <w:sz w:val="24"/>
          <w:szCs w:val="24"/>
        </w:rPr>
        <w:t xml:space="preserve">her sectors </w:t>
      </w:r>
    </w:p>
    <w:p w:rsidR="00155362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Retail </w:t>
      </w:r>
      <w:r w:rsidRPr="00CF5780">
        <w:rPr>
          <w:rFonts w:ascii="Arial" w:hAnsi="Arial" w:cs="Arial"/>
          <w:sz w:val="24"/>
          <w:szCs w:val="24"/>
        </w:rPr>
        <w:t>–</w:t>
      </w:r>
      <w:r w:rsidRPr="00CF5780">
        <w:rPr>
          <w:rFonts w:ascii="Arial" w:hAnsi="Arial" w:cs="Arial"/>
          <w:sz w:val="24"/>
          <w:szCs w:val="24"/>
        </w:rPr>
        <w:t xml:space="preserve"> 8</w:t>
      </w:r>
    </w:p>
    <w:p w:rsidR="00876C2A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Education - 6</w:t>
      </w:r>
    </w:p>
    <w:p w:rsidR="00C27DF8" w:rsidRPr="00CF5780" w:rsidRDefault="00CF5780" w:rsidP="00C27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Transport</w:t>
      </w:r>
      <w:r w:rsidRPr="00CF5780">
        <w:rPr>
          <w:rFonts w:ascii="Arial" w:hAnsi="Arial" w:cs="Arial"/>
          <w:sz w:val="24"/>
          <w:szCs w:val="24"/>
        </w:rPr>
        <w:t xml:space="preserve"> – 5</w:t>
      </w:r>
    </w:p>
    <w:p w:rsidR="00155362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Food Production - 4</w:t>
      </w:r>
      <w:r w:rsidRPr="00CF5780">
        <w:rPr>
          <w:rFonts w:ascii="Arial" w:hAnsi="Arial" w:cs="Arial"/>
          <w:sz w:val="24"/>
          <w:szCs w:val="24"/>
        </w:rPr>
        <w:t xml:space="preserve"> </w:t>
      </w:r>
    </w:p>
    <w:p w:rsidR="00155362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Wholesale </w:t>
      </w:r>
      <w:r w:rsidRPr="00CF5780">
        <w:rPr>
          <w:rFonts w:ascii="Arial" w:hAnsi="Arial" w:cs="Arial"/>
          <w:sz w:val="24"/>
          <w:szCs w:val="24"/>
        </w:rPr>
        <w:t>–</w:t>
      </w:r>
      <w:r w:rsidRPr="00CF5780">
        <w:rPr>
          <w:rFonts w:ascii="Arial" w:hAnsi="Arial" w:cs="Arial"/>
          <w:sz w:val="24"/>
          <w:szCs w:val="24"/>
        </w:rPr>
        <w:t xml:space="preserve"> 4</w:t>
      </w:r>
    </w:p>
    <w:p w:rsidR="00876C2A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Debt recovery – 2</w:t>
      </w:r>
    </w:p>
    <w:p w:rsidR="00876C2A" w:rsidRPr="00CF5780" w:rsidRDefault="00CF5780" w:rsidP="00155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Football Clubs – 2 </w:t>
      </w:r>
    </w:p>
    <w:p w:rsidR="00876C2A" w:rsidRPr="00CF5780" w:rsidRDefault="00CF5780" w:rsidP="00876C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Housing Association</w:t>
      </w:r>
      <w:r w:rsidRPr="00CF5780">
        <w:rPr>
          <w:rFonts w:ascii="Arial" w:hAnsi="Arial" w:cs="Arial"/>
          <w:sz w:val="24"/>
          <w:szCs w:val="24"/>
        </w:rPr>
        <w:t xml:space="preserve"> – 2 </w:t>
      </w:r>
    </w:p>
    <w:p w:rsidR="00876C2A" w:rsidRPr="00CF5780" w:rsidRDefault="00CF5780" w:rsidP="00876C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 xml:space="preserve">Security – 2 </w:t>
      </w:r>
    </w:p>
    <w:p w:rsidR="00876C2A" w:rsidRPr="00CF5780" w:rsidRDefault="00CF5780" w:rsidP="00876C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Logistics - 1</w:t>
      </w:r>
    </w:p>
    <w:p w:rsidR="00876C2A" w:rsidRPr="00CF5780" w:rsidRDefault="00CF5780" w:rsidP="00876C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780">
        <w:rPr>
          <w:rFonts w:ascii="Arial" w:hAnsi="Arial" w:cs="Arial"/>
          <w:sz w:val="24"/>
          <w:szCs w:val="24"/>
        </w:rPr>
        <w:t>Misc</w:t>
      </w:r>
      <w:r w:rsidRPr="00CF5780">
        <w:rPr>
          <w:rFonts w:ascii="Arial" w:hAnsi="Arial" w:cs="Arial"/>
          <w:sz w:val="24"/>
          <w:szCs w:val="24"/>
        </w:rPr>
        <w:t>.</w:t>
      </w:r>
      <w:r w:rsidRPr="00CF5780">
        <w:rPr>
          <w:rFonts w:ascii="Arial" w:hAnsi="Arial" w:cs="Arial"/>
          <w:sz w:val="24"/>
          <w:szCs w:val="24"/>
        </w:rPr>
        <w:t xml:space="preserve"> – 2</w:t>
      </w:r>
    </w:p>
    <w:p w:rsidR="00155362" w:rsidRPr="00CF5780" w:rsidRDefault="00CF5780" w:rsidP="00155362">
      <w:pPr>
        <w:ind w:left="360"/>
        <w:rPr>
          <w:rFonts w:ascii="Arial" w:hAnsi="Arial" w:cs="Arial"/>
          <w:sz w:val="24"/>
          <w:szCs w:val="24"/>
        </w:rPr>
      </w:pPr>
    </w:p>
    <w:p w:rsidR="00C27DF8" w:rsidRPr="00CF5780" w:rsidRDefault="00CF5780">
      <w:pPr>
        <w:rPr>
          <w:rFonts w:ascii="Arial" w:hAnsi="Arial" w:cs="Arial"/>
          <w:sz w:val="24"/>
          <w:szCs w:val="24"/>
        </w:rPr>
      </w:pPr>
    </w:p>
    <w:p w:rsidR="00E67814" w:rsidRPr="00CF5780" w:rsidRDefault="00CF5780">
      <w:pPr>
        <w:rPr>
          <w:rFonts w:ascii="Arial" w:hAnsi="Arial" w:cs="Arial"/>
          <w:sz w:val="24"/>
          <w:szCs w:val="24"/>
        </w:rPr>
      </w:pPr>
    </w:p>
    <w:p w:rsidR="00857A27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857A27" w:rsidRPr="00CF5780" w:rsidRDefault="00CF5780">
      <w:pPr>
        <w:rPr>
          <w:rFonts w:ascii="Arial" w:hAnsi="Arial" w:cs="Arial"/>
          <w:b/>
          <w:sz w:val="24"/>
          <w:szCs w:val="24"/>
        </w:rPr>
      </w:pPr>
    </w:p>
    <w:p w:rsidR="00857A27" w:rsidRPr="00CF5780" w:rsidRDefault="00CF5780">
      <w:pPr>
        <w:rPr>
          <w:rFonts w:ascii="Arial" w:hAnsi="Arial" w:cs="Arial"/>
          <w:sz w:val="24"/>
          <w:szCs w:val="24"/>
        </w:rPr>
      </w:pPr>
    </w:p>
    <w:sectPr w:rsidR="00857A27" w:rsidRPr="00CF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5780">
      <w:pPr>
        <w:spacing w:after="0" w:line="240" w:lineRule="auto"/>
      </w:pPr>
      <w:r>
        <w:separator/>
      </w:r>
    </w:p>
  </w:endnote>
  <w:endnote w:type="continuationSeparator" w:id="0">
    <w:p w:rsidR="00000000" w:rsidRDefault="00CF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36" w:rsidRDefault="00CF5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36" w:rsidRDefault="00CF5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36" w:rsidRDefault="00CF5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5780">
      <w:pPr>
        <w:spacing w:after="0" w:line="240" w:lineRule="auto"/>
      </w:pPr>
      <w:r>
        <w:separator/>
      </w:r>
    </w:p>
  </w:footnote>
  <w:footnote w:type="continuationSeparator" w:id="0">
    <w:p w:rsidR="00000000" w:rsidRDefault="00CF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36" w:rsidRDefault="00CF5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09" w:rsidRDefault="00CF5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36" w:rsidRDefault="00CF5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70B1E"/>
    <w:multiLevelType w:val="hybridMultilevel"/>
    <w:tmpl w:val="75888596"/>
    <w:lvl w:ilvl="0" w:tplc="3D26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CD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E7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A1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2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B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8D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1A"/>
    <w:rsid w:val="00BC4D1A"/>
    <w:rsid w:val="00C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963D-1932-4B9B-8FC9-9C00176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09"/>
  </w:style>
  <w:style w:type="paragraph" w:styleId="Footer">
    <w:name w:val="footer"/>
    <w:basedOn w:val="Normal"/>
    <w:link w:val="FooterChar"/>
    <w:uiPriority w:val="99"/>
    <w:unhideWhenUsed/>
    <w:rsid w:val="00B7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Moizer, Lisa</dc:creator>
  <cp:lastModifiedBy>Neville, Mike</cp:lastModifiedBy>
  <cp:revision>7</cp:revision>
  <dcterms:created xsi:type="dcterms:W3CDTF">2019-02-27T08:13:00Z</dcterms:created>
  <dcterms:modified xsi:type="dcterms:W3CDTF">2019-03-27T10:23:00Z</dcterms:modified>
</cp:coreProperties>
</file>